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FCE8A" w14:textId="77777777" w:rsidR="00534730" w:rsidRPr="009D212A" w:rsidRDefault="00534730" w:rsidP="00534730">
      <w:pPr>
        <w:rPr>
          <w:rFonts w:ascii="Arial" w:hAnsi="Arial" w:cs="Arial"/>
          <w:b/>
          <w:sz w:val="24"/>
          <w:szCs w:val="24"/>
        </w:rPr>
      </w:pPr>
      <w:r>
        <w:rPr>
          <w:rFonts w:ascii="Arial" w:hAnsi="Arial"/>
          <w:b/>
          <w:sz w:val="24"/>
        </w:rPr>
        <w:t>Mission de la Constellation RADARSAT/Sentinel-1 - mouvement de la glace de mer (MCRS1MGM)</w:t>
      </w:r>
    </w:p>
    <w:p w14:paraId="0A133058" w14:textId="77777777" w:rsidR="00534730" w:rsidRDefault="00534730" w:rsidP="00534730">
      <w:pPr>
        <w:rPr>
          <w:rFonts w:ascii="Arial" w:hAnsi="Arial" w:cs="Arial"/>
          <w:sz w:val="24"/>
          <w:szCs w:val="24"/>
        </w:rPr>
      </w:pPr>
      <w:r>
        <w:rPr>
          <w:rFonts w:ascii="Arial" w:hAnsi="Arial"/>
          <w:sz w:val="24"/>
        </w:rPr>
        <w:t xml:space="preserve">Cet ensemble de données sur grille du mouvement de la glace de mer (MGM) est produit par l’algorithme de surveillance des entités de glace de mer (Komarov et Barber, 2013) appliqué dans le Système automatisé de suivi des glaces marines d’Environnement et Changement climatique Canada (SASGM d’ECCC; Howell et coll., 2022). Le SASGM d’ECCC détecte le déplacement de la glace en superposant deux images de radars à synthèse d’ouverture (RSO), et ce, pour une vaste collection d’imagerie de RSO sur l’ensemble du domaine panarctique. Des fenêtres spatiotemporelles sont utilisées pour recueillir et convertir chacun des déplacements des glaces sur des grilles de MGM avec les statistiques et les estimations de l’incertitude associées. </w:t>
      </w:r>
    </w:p>
    <w:p w14:paraId="1D326564" w14:textId="77777777" w:rsidR="00231C6D" w:rsidRDefault="00231C6D" w:rsidP="00534730">
      <w:pPr>
        <w:rPr>
          <w:rFonts w:ascii="Arial" w:hAnsi="Arial" w:cs="Arial"/>
          <w:sz w:val="24"/>
          <w:szCs w:val="24"/>
        </w:rPr>
      </w:pPr>
      <w:bookmarkStart w:id="0" w:name="_GoBack"/>
      <w:bookmarkEnd w:id="0"/>
    </w:p>
    <w:p w14:paraId="31687F1D" w14:textId="77777777" w:rsidR="00652A70" w:rsidRPr="00566A1A" w:rsidRDefault="00231C6D" w:rsidP="00652A70">
      <w:pPr>
        <w:rPr>
          <w:rFonts w:ascii="Arial" w:hAnsi="Arial" w:cs="Arial"/>
          <w:sz w:val="24"/>
          <w:szCs w:val="24"/>
          <w:u w:val="single"/>
        </w:rPr>
      </w:pPr>
      <w:r>
        <w:rPr>
          <w:rFonts w:ascii="Arial" w:hAnsi="Arial"/>
          <w:sz w:val="24"/>
          <w:u w:val="single"/>
        </w:rPr>
        <w:t>Génération du produit et contrôle de la qualité</w:t>
      </w:r>
    </w:p>
    <w:p w14:paraId="10E14C33" w14:textId="77777777" w:rsidR="00097122" w:rsidRPr="00097122" w:rsidRDefault="00097122" w:rsidP="00097122">
      <w:pPr>
        <w:rPr>
          <w:rFonts w:ascii="Arial" w:hAnsi="Arial" w:cs="Arial"/>
          <w:sz w:val="24"/>
          <w:szCs w:val="24"/>
        </w:rPr>
      </w:pPr>
      <w:r>
        <w:rPr>
          <w:rFonts w:ascii="Arial" w:hAnsi="Arial"/>
          <w:sz w:val="24"/>
        </w:rPr>
        <w:t>Les étapes de traitement et de contrôle de la qualité suivantes sont effectuées lors de la génération du produit de MGM :</w:t>
      </w:r>
    </w:p>
    <w:p w14:paraId="2E34F564" w14:textId="77777777" w:rsidR="00913BA8" w:rsidRDefault="00913BA8" w:rsidP="00913BA8">
      <w:pPr>
        <w:pStyle w:val="ListParagraph"/>
        <w:numPr>
          <w:ilvl w:val="0"/>
          <w:numId w:val="1"/>
        </w:numPr>
        <w:rPr>
          <w:rFonts w:ascii="Arial" w:hAnsi="Arial" w:cs="Arial"/>
          <w:sz w:val="24"/>
          <w:szCs w:val="24"/>
        </w:rPr>
      </w:pPr>
      <w:r>
        <w:rPr>
          <w:rFonts w:ascii="Arial" w:hAnsi="Arial"/>
          <w:sz w:val="24"/>
        </w:rPr>
        <w:t>La fenêtre spatiale pour recueillir les échantillons de déplacement de la glace était trois fois plus grande que la résolution de la grille de produit (p. ex. fenêtre de 75 km pour un produit de MGM de 25 km).</w:t>
      </w:r>
    </w:p>
    <w:p w14:paraId="40B6C9A5" w14:textId="77777777" w:rsidR="00913BA8" w:rsidRDefault="00913BA8" w:rsidP="00913BA8">
      <w:pPr>
        <w:pStyle w:val="ListParagraph"/>
        <w:numPr>
          <w:ilvl w:val="0"/>
          <w:numId w:val="1"/>
        </w:numPr>
        <w:rPr>
          <w:rFonts w:ascii="Arial" w:hAnsi="Arial" w:cs="Arial"/>
          <w:sz w:val="24"/>
          <w:szCs w:val="24"/>
        </w:rPr>
      </w:pPr>
      <w:r>
        <w:rPr>
          <w:rFonts w:ascii="Arial" w:hAnsi="Arial"/>
          <w:sz w:val="24"/>
        </w:rPr>
        <w:t>Les nouveaux produits de MGM sont générés chaque jour avec un décalage de 2 jours à 1000 UTC.</w:t>
      </w:r>
    </w:p>
    <w:p w14:paraId="3F6285A3" w14:textId="77777777" w:rsidR="00913BA8" w:rsidRPr="00733C8D" w:rsidRDefault="00913BA8" w:rsidP="00913BA8">
      <w:pPr>
        <w:pStyle w:val="ListParagraph"/>
        <w:numPr>
          <w:ilvl w:val="0"/>
          <w:numId w:val="1"/>
        </w:numPr>
        <w:rPr>
          <w:rFonts w:ascii="Arial" w:hAnsi="Arial" w:cs="Arial"/>
          <w:sz w:val="24"/>
          <w:szCs w:val="24"/>
        </w:rPr>
      </w:pPr>
      <w:r>
        <w:rPr>
          <w:rFonts w:ascii="Arial" w:hAnsi="Arial"/>
          <w:sz w:val="24"/>
        </w:rPr>
        <w:t>Les calculs de l’incertitude sont décrits dans la publication associée (Howell et coll., 2022).</w:t>
      </w:r>
    </w:p>
    <w:p w14:paraId="41AD9355" w14:textId="77777777" w:rsidR="00097122" w:rsidRPr="00097122" w:rsidRDefault="00097122" w:rsidP="00097122">
      <w:pPr>
        <w:pStyle w:val="ListParagraph"/>
        <w:numPr>
          <w:ilvl w:val="0"/>
          <w:numId w:val="1"/>
        </w:numPr>
        <w:rPr>
          <w:rFonts w:ascii="Arial" w:hAnsi="Arial" w:cs="Arial"/>
          <w:sz w:val="24"/>
          <w:szCs w:val="24"/>
        </w:rPr>
      </w:pPr>
      <w:r>
        <w:rPr>
          <w:rFonts w:ascii="Arial" w:hAnsi="Arial"/>
          <w:sz w:val="24"/>
        </w:rPr>
        <w:t>Aucune paire d’images se chevauchant avec un écart de moins de 12 heures n’a été incluse dans la génération du produit.</w:t>
      </w:r>
    </w:p>
    <w:p w14:paraId="3AFA0AE8" w14:textId="77777777" w:rsidR="00652A70" w:rsidRDefault="00097122" w:rsidP="00652A70">
      <w:pPr>
        <w:pStyle w:val="ListParagraph"/>
        <w:numPr>
          <w:ilvl w:val="0"/>
          <w:numId w:val="1"/>
        </w:numPr>
        <w:rPr>
          <w:rFonts w:ascii="Arial" w:hAnsi="Arial" w:cs="Arial"/>
          <w:sz w:val="24"/>
          <w:szCs w:val="24"/>
        </w:rPr>
      </w:pPr>
      <w:r>
        <w:rPr>
          <w:rFonts w:ascii="Arial" w:hAnsi="Arial"/>
          <w:sz w:val="24"/>
        </w:rPr>
        <w:t>Tout déplacement de glace détecté dont la vitesse était de 75 km/jour ou plus a été retiré.</w:t>
      </w:r>
    </w:p>
    <w:p w14:paraId="258136C2" w14:textId="77777777" w:rsidR="00233196" w:rsidRDefault="00097122" w:rsidP="00652A70">
      <w:pPr>
        <w:pStyle w:val="ListParagraph"/>
        <w:numPr>
          <w:ilvl w:val="0"/>
          <w:numId w:val="1"/>
        </w:numPr>
        <w:rPr>
          <w:rFonts w:ascii="Arial" w:hAnsi="Arial" w:cs="Arial"/>
          <w:sz w:val="24"/>
          <w:szCs w:val="24"/>
        </w:rPr>
      </w:pPr>
      <w:r>
        <w:rPr>
          <w:rFonts w:ascii="Arial" w:hAnsi="Arial"/>
          <w:sz w:val="24"/>
        </w:rPr>
        <w:t>Toute cellule de la grille comptant moins de 5 échantillons de déplacement de glace a été retirée.</w:t>
      </w:r>
    </w:p>
    <w:p w14:paraId="691E6719" w14:textId="77777777" w:rsidR="00097122" w:rsidRDefault="00097122" w:rsidP="00EE464C">
      <w:pPr>
        <w:pStyle w:val="ListParagraph"/>
        <w:numPr>
          <w:ilvl w:val="0"/>
          <w:numId w:val="1"/>
        </w:numPr>
        <w:rPr>
          <w:rFonts w:ascii="Arial" w:hAnsi="Arial" w:cs="Arial"/>
          <w:sz w:val="24"/>
          <w:szCs w:val="24"/>
        </w:rPr>
      </w:pPr>
      <w:r>
        <w:rPr>
          <w:rFonts w:ascii="Arial" w:hAnsi="Arial"/>
          <w:sz w:val="24"/>
        </w:rPr>
        <w:t>Toute cellule de la grille dont la vitesse de déplacement était de 0 a été retirée.</w:t>
      </w:r>
    </w:p>
    <w:p w14:paraId="4E6613E1" w14:textId="77777777" w:rsidR="00652A70" w:rsidRPr="00097122" w:rsidRDefault="00097122" w:rsidP="00EE464C">
      <w:pPr>
        <w:pStyle w:val="ListParagraph"/>
        <w:numPr>
          <w:ilvl w:val="0"/>
          <w:numId w:val="1"/>
        </w:numPr>
        <w:rPr>
          <w:rFonts w:ascii="Arial" w:hAnsi="Arial" w:cs="Arial"/>
          <w:sz w:val="24"/>
          <w:szCs w:val="24"/>
        </w:rPr>
      </w:pPr>
      <w:r>
        <w:rPr>
          <w:rFonts w:ascii="Arial" w:hAnsi="Arial"/>
          <w:sz w:val="24"/>
        </w:rPr>
        <w:t>Toute cellule de la grille dont la vitesse de déplacement était nulle a été retirée (sauf pour le produit matriciel, dans lequel ces cellules sont masquées à l’aide de valeurs de remplissage).</w:t>
      </w:r>
    </w:p>
    <w:p w14:paraId="3D158ADC" w14:textId="77777777" w:rsidR="00733C8D" w:rsidRDefault="00733C8D" w:rsidP="00534730">
      <w:pPr>
        <w:rPr>
          <w:rFonts w:ascii="Arial" w:hAnsi="Arial" w:cs="Arial"/>
          <w:sz w:val="24"/>
          <w:szCs w:val="24"/>
        </w:rPr>
      </w:pPr>
    </w:p>
    <w:p w14:paraId="7E7CF7E1" w14:textId="77777777" w:rsidR="00733C8D" w:rsidRPr="00566A1A" w:rsidRDefault="00733C8D" w:rsidP="00534730">
      <w:pPr>
        <w:rPr>
          <w:rFonts w:ascii="Arial" w:hAnsi="Arial" w:cs="Arial"/>
          <w:sz w:val="24"/>
          <w:szCs w:val="24"/>
          <w:u w:val="single"/>
        </w:rPr>
      </w:pPr>
      <w:r>
        <w:rPr>
          <w:rFonts w:ascii="Arial" w:hAnsi="Arial"/>
          <w:sz w:val="24"/>
          <w:u w:val="single"/>
        </w:rPr>
        <w:t>Nom du fichier et versionnage</w:t>
      </w:r>
    </w:p>
    <w:p w14:paraId="1B3E6A67" w14:textId="13263F7E" w:rsidR="00733C8D" w:rsidRDefault="00733C8D" w:rsidP="00534730">
      <w:pPr>
        <w:rPr>
          <w:rFonts w:ascii="Arial" w:hAnsi="Arial" w:cs="Arial"/>
          <w:sz w:val="24"/>
          <w:szCs w:val="24"/>
        </w:rPr>
      </w:pPr>
      <w:r>
        <w:rPr>
          <w:rFonts w:ascii="Arial" w:hAnsi="Arial"/>
          <w:sz w:val="24"/>
        </w:rPr>
        <w:t>Chaque produit de MGM respecte une convention d’appellation semblable</w:t>
      </w:r>
      <w:r w:rsidR="00C5295B">
        <w:rPr>
          <w:rFonts w:ascii="Arial" w:hAnsi="Arial"/>
          <w:sz w:val="24"/>
        </w:rPr>
        <w:t xml:space="preserve"> à celle-ci</w:t>
      </w:r>
      <w:r>
        <w:rPr>
          <w:rFonts w:ascii="Arial" w:hAnsi="Arial"/>
          <w:sz w:val="24"/>
        </w:rPr>
        <w:t> :</w:t>
      </w:r>
    </w:p>
    <w:p w14:paraId="4484A80A" w14:textId="77777777" w:rsidR="00733C8D" w:rsidRDefault="00733C8D" w:rsidP="00566A1A">
      <w:pPr>
        <w:jc w:val="center"/>
        <w:rPr>
          <w:rFonts w:ascii="Arial" w:hAnsi="Arial" w:cs="Arial"/>
          <w:sz w:val="24"/>
          <w:szCs w:val="24"/>
        </w:rPr>
      </w:pPr>
      <w:r>
        <w:rPr>
          <w:rFonts w:ascii="Arial" w:hAnsi="Arial"/>
          <w:sz w:val="24"/>
        </w:rPr>
        <w:t>RCMS1SIM_AAAAMMJJ_AAAAMMJJ_GGGG_VVV</w:t>
      </w:r>
    </w:p>
    <w:p w14:paraId="302F716F" w14:textId="77777777" w:rsidR="00733C8D" w:rsidRDefault="00733C8D" w:rsidP="00534730">
      <w:pPr>
        <w:rPr>
          <w:rFonts w:ascii="Arial" w:hAnsi="Arial" w:cs="Arial"/>
          <w:sz w:val="24"/>
          <w:szCs w:val="24"/>
        </w:rPr>
      </w:pPr>
      <w:r>
        <w:rPr>
          <w:rFonts w:ascii="Arial" w:hAnsi="Arial"/>
          <w:sz w:val="24"/>
        </w:rPr>
        <w:lastRenderedPageBreak/>
        <w:t>Où le AAAAMMJJ de gauche est la date de début de la fenêtre temporelle du produit à 0000 UTC (p. ex. 20220316, ou le 16 mars 2022), le AAAAMMJJ de droite est la date de fin de la fenêtre temporelle du produit à 2359 UTC (p. ex. 20220322, ou le 22 mars 2022), GGGG fait référence à la spécification de la grille (p. ex. EASE1 pour la grille terrestre évolutive à aire égale, version 1), et VVV indique la version du produit (p. ex. v1.0).</w:t>
      </w:r>
    </w:p>
    <w:p w14:paraId="271F7516" w14:textId="77777777" w:rsidR="00733C8D" w:rsidRDefault="00733C8D" w:rsidP="00534730">
      <w:pPr>
        <w:rPr>
          <w:rFonts w:ascii="Arial" w:hAnsi="Arial" w:cs="Arial"/>
          <w:sz w:val="24"/>
          <w:szCs w:val="24"/>
        </w:rPr>
      </w:pPr>
    </w:p>
    <w:p w14:paraId="7CDB8496" w14:textId="77777777" w:rsidR="00733C8D" w:rsidRPr="00566A1A" w:rsidRDefault="00733C8D" w:rsidP="00534730">
      <w:pPr>
        <w:rPr>
          <w:rFonts w:ascii="Arial" w:hAnsi="Arial" w:cs="Arial"/>
          <w:sz w:val="24"/>
          <w:szCs w:val="24"/>
          <w:u w:val="single"/>
        </w:rPr>
      </w:pPr>
      <w:r>
        <w:rPr>
          <w:rFonts w:ascii="Arial" w:hAnsi="Arial"/>
          <w:sz w:val="24"/>
          <w:u w:val="single"/>
        </w:rPr>
        <w:t>Format de fichier</w:t>
      </w:r>
    </w:p>
    <w:p w14:paraId="0C7A6628" w14:textId="357241A1" w:rsidR="00566A1A" w:rsidRDefault="00566A1A" w:rsidP="00534730">
      <w:pPr>
        <w:rPr>
          <w:rFonts w:ascii="Arial" w:hAnsi="Arial" w:cs="Arial"/>
          <w:sz w:val="24"/>
          <w:szCs w:val="24"/>
        </w:rPr>
      </w:pPr>
      <w:r>
        <w:rPr>
          <w:rFonts w:ascii="Arial" w:hAnsi="Arial"/>
          <w:sz w:val="24"/>
        </w:rPr>
        <w:t>Les produits de MGM sont générés en formats vectoriel (fichiers de formes Esri) et matriciel (Network Common Data Form; NetCDF). L’ensemble de données vectoriel peut être chargé dans les applications conventionnelles d’IUG des SIG comme QGIS et ArcGIS Pro/ArcMap d’Esri. L’ensemble de données matriciel peut également être chargé dans ces applications de SIG ainsi que dans d’autres outils de NetCDF, comme ncview et l</w:t>
      </w:r>
      <w:r w:rsidR="007A1E97">
        <w:rPr>
          <w:rFonts w:ascii="Arial" w:hAnsi="Arial"/>
          <w:sz w:val="24"/>
        </w:rPr>
        <w:t>a</w:t>
      </w:r>
      <w:r>
        <w:rPr>
          <w:rFonts w:ascii="Arial" w:hAnsi="Arial"/>
          <w:sz w:val="24"/>
        </w:rPr>
        <w:t xml:space="preserve"> vis</w:t>
      </w:r>
      <w:r w:rsidR="007A1E97">
        <w:rPr>
          <w:rFonts w:ascii="Arial" w:hAnsi="Arial"/>
          <w:sz w:val="24"/>
        </w:rPr>
        <w:t xml:space="preserve">ionneuse </w:t>
      </w:r>
      <w:r>
        <w:rPr>
          <w:rFonts w:ascii="Arial" w:hAnsi="Arial"/>
          <w:sz w:val="24"/>
        </w:rPr>
        <w:t>de données Panoply, offert</w:t>
      </w:r>
      <w:r w:rsidR="007A1E97">
        <w:rPr>
          <w:rFonts w:ascii="Arial" w:hAnsi="Arial"/>
          <w:sz w:val="24"/>
        </w:rPr>
        <w:t>e</w:t>
      </w:r>
      <w:r>
        <w:rPr>
          <w:rFonts w:ascii="Arial" w:hAnsi="Arial"/>
          <w:sz w:val="24"/>
        </w:rPr>
        <w:t xml:space="preserve"> par la NASA : </w:t>
      </w:r>
      <w:hyperlink r:id="rId8" w:history="1">
        <w:r>
          <w:rPr>
            <w:rStyle w:val="Hyperlink"/>
            <w:rFonts w:ascii="Arial" w:hAnsi="Arial"/>
            <w:sz w:val="24"/>
          </w:rPr>
          <w:t>https://www.giss.nasa.gov/tools/panoply/</w:t>
        </w:r>
      </w:hyperlink>
      <w:r>
        <w:rPr>
          <w:rFonts w:ascii="Arial" w:hAnsi="Arial"/>
          <w:sz w:val="24"/>
        </w:rPr>
        <w:t xml:space="preserve">. </w:t>
      </w:r>
      <w:r w:rsidRPr="00C5295B">
        <w:rPr>
          <w:rFonts w:ascii="Arial" w:hAnsi="Arial"/>
          <w:sz w:val="24"/>
        </w:rPr>
        <w:t xml:space="preserve">Les ensembles de données, tant vectoriel que matriciel, </w:t>
      </w:r>
      <w:r>
        <w:rPr>
          <w:rFonts w:ascii="Arial" w:hAnsi="Arial"/>
          <w:sz w:val="24"/>
        </w:rPr>
        <w:t xml:space="preserve">renferment une série d’attributs nous informant sur les variables liées au déplacement de la glace (voir le </w:t>
      </w:r>
      <w:r w:rsidR="00652A70" w:rsidRPr="00652A70">
        <w:rPr>
          <w:rFonts w:ascii="Arial" w:hAnsi="Arial" w:cs="Arial"/>
          <w:sz w:val="24"/>
        </w:rPr>
        <w:fldChar w:fldCharType="begin"/>
      </w:r>
      <w:r w:rsidR="00652A70" w:rsidRPr="00652A70">
        <w:rPr>
          <w:rFonts w:ascii="Arial" w:hAnsi="Arial" w:cs="Arial"/>
          <w:sz w:val="24"/>
        </w:rPr>
        <w:instrText xml:space="preserve"> REF _Ref107324248 \h </w:instrText>
      </w:r>
      <w:r w:rsidR="00652A70">
        <w:rPr>
          <w:rFonts w:ascii="Arial" w:hAnsi="Arial" w:cs="Arial"/>
          <w:sz w:val="24"/>
        </w:rPr>
        <w:instrText xml:space="preserve"> \* MERGEFORMAT </w:instrText>
      </w:r>
      <w:r w:rsidR="00652A70" w:rsidRPr="00652A70">
        <w:rPr>
          <w:rFonts w:ascii="Arial" w:hAnsi="Arial" w:cs="Arial"/>
          <w:sz w:val="24"/>
        </w:rPr>
      </w:r>
      <w:r w:rsidR="00652A70" w:rsidRPr="00652A70">
        <w:rPr>
          <w:rFonts w:ascii="Arial" w:hAnsi="Arial" w:cs="Arial"/>
          <w:sz w:val="24"/>
        </w:rPr>
        <w:fldChar w:fldCharType="separate"/>
      </w:r>
      <w:r w:rsidR="00C5295B" w:rsidRPr="00C5295B">
        <w:rPr>
          <w:rFonts w:ascii="Arial" w:hAnsi="Arial" w:cs="Arial"/>
          <w:sz w:val="24"/>
        </w:rPr>
        <w:t>Tableau 1</w:t>
      </w:r>
      <w:r w:rsidR="00652A70" w:rsidRPr="00652A70">
        <w:rPr>
          <w:rFonts w:ascii="Arial" w:hAnsi="Arial" w:cs="Arial"/>
          <w:sz w:val="24"/>
        </w:rPr>
        <w:fldChar w:fldCharType="end"/>
      </w:r>
      <w:r>
        <w:rPr>
          <w:rFonts w:ascii="Arial" w:hAnsi="Arial"/>
          <w:sz w:val="24"/>
        </w:rPr>
        <w:t>).</w:t>
      </w:r>
    </w:p>
    <w:p w14:paraId="4EADC327" w14:textId="77777777" w:rsidR="00534730" w:rsidRPr="009D212A" w:rsidRDefault="00534730" w:rsidP="00534730">
      <w:pPr>
        <w:rPr>
          <w:rFonts w:ascii="Arial" w:hAnsi="Arial" w:cs="Arial"/>
        </w:rPr>
      </w:pPr>
    </w:p>
    <w:p w14:paraId="7B2498F7" w14:textId="77777777" w:rsidR="00534730" w:rsidRPr="009D212A" w:rsidRDefault="00534730" w:rsidP="00534730">
      <w:pPr>
        <w:pStyle w:val="Caption"/>
        <w:keepNext/>
        <w:rPr>
          <w:rFonts w:ascii="Arial" w:hAnsi="Arial" w:cs="Arial"/>
          <w:color w:val="auto"/>
        </w:rPr>
      </w:pPr>
      <w:bookmarkStart w:id="1" w:name="_Ref107324248"/>
      <w:r>
        <w:rPr>
          <w:rFonts w:ascii="Arial" w:hAnsi="Arial"/>
          <w:color w:val="auto"/>
        </w:rPr>
        <w:t>Tableau </w:t>
      </w:r>
      <w:r w:rsidRPr="009D212A">
        <w:rPr>
          <w:rFonts w:ascii="Arial" w:hAnsi="Arial" w:cs="Arial"/>
          <w:color w:val="auto"/>
        </w:rPr>
        <w:fldChar w:fldCharType="begin"/>
      </w:r>
      <w:r w:rsidRPr="009D212A">
        <w:rPr>
          <w:rFonts w:ascii="Arial" w:hAnsi="Arial" w:cs="Arial"/>
          <w:color w:val="auto"/>
        </w:rPr>
        <w:instrText xml:space="preserve"> SEQ Table \* ARABIC </w:instrText>
      </w:r>
      <w:r w:rsidRPr="009D212A">
        <w:rPr>
          <w:rFonts w:ascii="Arial" w:hAnsi="Arial" w:cs="Arial"/>
          <w:color w:val="auto"/>
        </w:rPr>
        <w:fldChar w:fldCharType="separate"/>
      </w:r>
      <w:r w:rsidR="00C5295B">
        <w:rPr>
          <w:rFonts w:ascii="Arial" w:hAnsi="Arial" w:cs="Arial"/>
          <w:noProof/>
          <w:color w:val="auto"/>
        </w:rPr>
        <w:t>1</w:t>
      </w:r>
      <w:r w:rsidRPr="009D212A">
        <w:rPr>
          <w:rFonts w:ascii="Arial" w:hAnsi="Arial" w:cs="Arial"/>
          <w:color w:val="auto"/>
        </w:rPr>
        <w:fldChar w:fldCharType="end"/>
      </w:r>
      <w:bookmarkEnd w:id="1"/>
      <w:r>
        <w:rPr>
          <w:rFonts w:ascii="Arial" w:hAnsi="Arial"/>
          <w:color w:val="auto"/>
        </w:rPr>
        <w:t>. Description des variables des produits de MCRS1MGM</w:t>
      </w:r>
    </w:p>
    <w:tbl>
      <w:tblPr>
        <w:tblStyle w:val="TableGrid"/>
        <w:tblW w:w="0" w:type="auto"/>
        <w:tblLook w:val="04A0" w:firstRow="1" w:lastRow="0" w:firstColumn="1" w:lastColumn="0" w:noHBand="0" w:noVBand="1"/>
      </w:tblPr>
      <w:tblGrid>
        <w:gridCol w:w="4675"/>
        <w:gridCol w:w="4675"/>
      </w:tblGrid>
      <w:tr w:rsidR="00534730" w:rsidRPr="009D212A" w14:paraId="0C1513B4" w14:textId="77777777" w:rsidTr="00652A70">
        <w:trPr>
          <w:trHeight w:val="680"/>
        </w:trPr>
        <w:tc>
          <w:tcPr>
            <w:tcW w:w="4675" w:type="dxa"/>
            <w:vAlign w:val="center"/>
          </w:tcPr>
          <w:p w14:paraId="460D27DA" w14:textId="77777777" w:rsidR="00534730" w:rsidRPr="009D212A" w:rsidRDefault="00534730" w:rsidP="00C12E05">
            <w:pPr>
              <w:rPr>
                <w:rFonts w:ascii="Arial" w:hAnsi="Arial" w:cs="Arial"/>
                <w:b/>
                <w:sz w:val="24"/>
                <w:szCs w:val="24"/>
              </w:rPr>
            </w:pPr>
            <w:r>
              <w:rPr>
                <w:rFonts w:ascii="Arial" w:hAnsi="Arial"/>
                <w:b/>
                <w:sz w:val="24"/>
              </w:rPr>
              <w:t>Nom de la variable</w:t>
            </w:r>
          </w:p>
        </w:tc>
        <w:tc>
          <w:tcPr>
            <w:tcW w:w="4675" w:type="dxa"/>
            <w:vAlign w:val="center"/>
          </w:tcPr>
          <w:p w14:paraId="01BEB43C" w14:textId="77777777" w:rsidR="00534730" w:rsidRPr="009D212A" w:rsidRDefault="00534730" w:rsidP="00C12E05">
            <w:pPr>
              <w:rPr>
                <w:rFonts w:ascii="Arial" w:hAnsi="Arial" w:cs="Arial"/>
                <w:b/>
                <w:sz w:val="24"/>
                <w:szCs w:val="24"/>
              </w:rPr>
            </w:pPr>
            <w:r>
              <w:rPr>
                <w:rFonts w:ascii="Arial" w:hAnsi="Arial"/>
                <w:b/>
                <w:sz w:val="24"/>
              </w:rPr>
              <w:t>Description</w:t>
            </w:r>
          </w:p>
        </w:tc>
      </w:tr>
      <w:tr w:rsidR="00534730" w:rsidRPr="009D212A" w14:paraId="1A16DE09" w14:textId="77777777" w:rsidTr="00652A70">
        <w:trPr>
          <w:trHeight w:val="851"/>
        </w:trPr>
        <w:tc>
          <w:tcPr>
            <w:tcW w:w="4675" w:type="dxa"/>
            <w:vAlign w:val="center"/>
          </w:tcPr>
          <w:p w14:paraId="1FA192D2" w14:textId="77777777" w:rsidR="00534730" w:rsidRPr="009D212A" w:rsidRDefault="00534730" w:rsidP="00C12E05">
            <w:pPr>
              <w:rPr>
                <w:rFonts w:ascii="Arial" w:hAnsi="Arial" w:cs="Arial"/>
                <w:sz w:val="24"/>
                <w:szCs w:val="24"/>
              </w:rPr>
            </w:pPr>
            <w:r>
              <w:rPr>
                <w:rFonts w:ascii="Arial" w:hAnsi="Arial"/>
                <w:sz w:val="24"/>
              </w:rPr>
              <w:t>Lat</w:t>
            </w:r>
          </w:p>
        </w:tc>
        <w:tc>
          <w:tcPr>
            <w:tcW w:w="4675" w:type="dxa"/>
            <w:vAlign w:val="center"/>
          </w:tcPr>
          <w:p w14:paraId="148A5621" w14:textId="77777777" w:rsidR="00534730" w:rsidRPr="009D212A" w:rsidRDefault="00534730" w:rsidP="00C12E05">
            <w:pPr>
              <w:rPr>
                <w:rFonts w:ascii="Arial" w:hAnsi="Arial" w:cs="Arial"/>
                <w:sz w:val="24"/>
                <w:szCs w:val="24"/>
              </w:rPr>
            </w:pPr>
            <w:r>
              <w:rPr>
                <w:rFonts w:ascii="Arial" w:hAnsi="Arial"/>
                <w:sz w:val="24"/>
              </w:rPr>
              <w:t>Coordonnée de la latitude du centroïde de la cellule de la grille, en degrés décimaux</w:t>
            </w:r>
          </w:p>
        </w:tc>
      </w:tr>
      <w:tr w:rsidR="00534730" w:rsidRPr="009D212A" w14:paraId="1A4CEE57" w14:textId="77777777" w:rsidTr="00652A70">
        <w:trPr>
          <w:trHeight w:val="851"/>
        </w:trPr>
        <w:tc>
          <w:tcPr>
            <w:tcW w:w="4675" w:type="dxa"/>
            <w:vAlign w:val="center"/>
          </w:tcPr>
          <w:p w14:paraId="7A50B746" w14:textId="77777777" w:rsidR="00534730" w:rsidRPr="009D212A" w:rsidRDefault="00534730" w:rsidP="00C12E05">
            <w:pPr>
              <w:rPr>
                <w:rFonts w:ascii="Arial" w:hAnsi="Arial" w:cs="Arial"/>
                <w:sz w:val="24"/>
                <w:szCs w:val="24"/>
              </w:rPr>
            </w:pPr>
            <w:r>
              <w:rPr>
                <w:rFonts w:ascii="Arial" w:hAnsi="Arial"/>
                <w:sz w:val="24"/>
              </w:rPr>
              <w:t>Lon</w:t>
            </w:r>
          </w:p>
        </w:tc>
        <w:tc>
          <w:tcPr>
            <w:tcW w:w="4675" w:type="dxa"/>
            <w:vAlign w:val="center"/>
          </w:tcPr>
          <w:p w14:paraId="0594033D" w14:textId="77777777" w:rsidR="00534730" w:rsidRPr="009D212A" w:rsidRDefault="00534730" w:rsidP="00C12E05">
            <w:pPr>
              <w:rPr>
                <w:rFonts w:ascii="Arial" w:hAnsi="Arial" w:cs="Arial"/>
                <w:sz w:val="24"/>
                <w:szCs w:val="24"/>
              </w:rPr>
            </w:pPr>
            <w:r>
              <w:rPr>
                <w:rFonts w:ascii="Arial" w:hAnsi="Arial"/>
                <w:sz w:val="24"/>
              </w:rPr>
              <w:t>Coordonnée de la longitude du centroïde de la cellule de la grille, en degrés décimaux</w:t>
            </w:r>
          </w:p>
        </w:tc>
      </w:tr>
      <w:tr w:rsidR="00534730" w:rsidRPr="009D212A" w14:paraId="3B44FBF9" w14:textId="77777777" w:rsidTr="00652A70">
        <w:trPr>
          <w:trHeight w:val="851"/>
        </w:trPr>
        <w:tc>
          <w:tcPr>
            <w:tcW w:w="4675" w:type="dxa"/>
            <w:vAlign w:val="center"/>
          </w:tcPr>
          <w:p w14:paraId="14603568" w14:textId="77777777" w:rsidR="00534730" w:rsidRPr="009D212A" w:rsidRDefault="00534730" w:rsidP="00C12E05">
            <w:pPr>
              <w:rPr>
                <w:rFonts w:ascii="Arial" w:hAnsi="Arial" w:cs="Arial"/>
                <w:sz w:val="24"/>
                <w:szCs w:val="24"/>
              </w:rPr>
            </w:pPr>
            <w:r>
              <w:rPr>
                <w:rFonts w:ascii="Arial" w:hAnsi="Arial"/>
                <w:sz w:val="24"/>
              </w:rPr>
              <w:t>U</w:t>
            </w:r>
          </w:p>
        </w:tc>
        <w:tc>
          <w:tcPr>
            <w:tcW w:w="4675" w:type="dxa"/>
            <w:vAlign w:val="center"/>
          </w:tcPr>
          <w:p w14:paraId="49ED9A4B" w14:textId="77777777" w:rsidR="00534730" w:rsidRPr="009D212A" w:rsidRDefault="00534730" w:rsidP="00C12E05">
            <w:pPr>
              <w:rPr>
                <w:rFonts w:ascii="Arial" w:hAnsi="Arial" w:cs="Arial"/>
                <w:sz w:val="24"/>
                <w:szCs w:val="24"/>
              </w:rPr>
            </w:pPr>
            <w:r>
              <w:rPr>
                <w:rFonts w:ascii="Arial" w:hAnsi="Arial"/>
                <w:sz w:val="24"/>
              </w:rPr>
              <w:t>Mouvement de la glace de mer dans l’axe des x de la grille, en kilomètres par jour</w:t>
            </w:r>
          </w:p>
        </w:tc>
      </w:tr>
      <w:tr w:rsidR="00534730" w:rsidRPr="009D212A" w14:paraId="3196C58C" w14:textId="77777777" w:rsidTr="00652A70">
        <w:trPr>
          <w:trHeight w:val="851"/>
        </w:trPr>
        <w:tc>
          <w:tcPr>
            <w:tcW w:w="4675" w:type="dxa"/>
            <w:vAlign w:val="center"/>
          </w:tcPr>
          <w:p w14:paraId="6083594B" w14:textId="77777777" w:rsidR="00534730" w:rsidRPr="009D212A" w:rsidRDefault="00534730" w:rsidP="00C12E05">
            <w:pPr>
              <w:rPr>
                <w:rFonts w:ascii="Arial" w:hAnsi="Arial" w:cs="Arial"/>
                <w:sz w:val="24"/>
                <w:szCs w:val="24"/>
              </w:rPr>
            </w:pPr>
            <w:r>
              <w:rPr>
                <w:rFonts w:ascii="Arial" w:hAnsi="Arial"/>
                <w:sz w:val="24"/>
              </w:rPr>
              <w:t>V</w:t>
            </w:r>
          </w:p>
        </w:tc>
        <w:tc>
          <w:tcPr>
            <w:tcW w:w="4675" w:type="dxa"/>
            <w:vAlign w:val="center"/>
          </w:tcPr>
          <w:p w14:paraId="2A058A48" w14:textId="77777777" w:rsidR="00534730" w:rsidRPr="009D212A" w:rsidRDefault="00534730" w:rsidP="00C12E05">
            <w:pPr>
              <w:rPr>
                <w:rFonts w:ascii="Arial" w:hAnsi="Arial" w:cs="Arial"/>
                <w:sz w:val="24"/>
                <w:szCs w:val="24"/>
              </w:rPr>
            </w:pPr>
            <w:r>
              <w:rPr>
                <w:rFonts w:ascii="Arial" w:hAnsi="Arial"/>
                <w:sz w:val="24"/>
              </w:rPr>
              <w:t>Mouvement de la glace de mer dans l’axe des y de la grille, en kilomètres par jour</w:t>
            </w:r>
          </w:p>
        </w:tc>
      </w:tr>
      <w:tr w:rsidR="00534730" w:rsidRPr="009D212A" w14:paraId="2A31705E" w14:textId="77777777" w:rsidTr="00652A70">
        <w:trPr>
          <w:trHeight w:val="851"/>
        </w:trPr>
        <w:tc>
          <w:tcPr>
            <w:tcW w:w="4675" w:type="dxa"/>
            <w:vAlign w:val="center"/>
          </w:tcPr>
          <w:p w14:paraId="00255A17" w14:textId="77777777" w:rsidR="00534730" w:rsidRPr="009D212A" w:rsidRDefault="00534730" w:rsidP="00C12E05">
            <w:pPr>
              <w:rPr>
                <w:rFonts w:ascii="Arial" w:hAnsi="Arial" w:cs="Arial"/>
                <w:sz w:val="24"/>
                <w:szCs w:val="24"/>
              </w:rPr>
            </w:pPr>
            <w:r>
              <w:rPr>
                <w:rFonts w:ascii="Arial" w:hAnsi="Arial"/>
                <w:sz w:val="24"/>
              </w:rPr>
              <w:t>Samples</w:t>
            </w:r>
          </w:p>
        </w:tc>
        <w:tc>
          <w:tcPr>
            <w:tcW w:w="4675" w:type="dxa"/>
            <w:vAlign w:val="center"/>
          </w:tcPr>
          <w:p w14:paraId="33FDC9BF" w14:textId="77777777" w:rsidR="00534730" w:rsidRPr="009D212A" w:rsidRDefault="00534730" w:rsidP="00C12E05">
            <w:pPr>
              <w:rPr>
                <w:rFonts w:ascii="Arial" w:hAnsi="Arial" w:cs="Arial"/>
                <w:sz w:val="24"/>
                <w:szCs w:val="24"/>
              </w:rPr>
            </w:pPr>
            <w:r>
              <w:rPr>
                <w:rFonts w:ascii="Arial" w:hAnsi="Arial"/>
                <w:sz w:val="24"/>
              </w:rPr>
              <w:t>Nombre d’entités de glace suivies utilisées pour estimer le mouvement de la glace de mer dans la cellule de la grille</w:t>
            </w:r>
          </w:p>
        </w:tc>
      </w:tr>
      <w:tr w:rsidR="00534730" w:rsidRPr="009D212A" w14:paraId="6839783A" w14:textId="77777777" w:rsidTr="00652A70">
        <w:trPr>
          <w:trHeight w:val="851"/>
        </w:trPr>
        <w:tc>
          <w:tcPr>
            <w:tcW w:w="4675" w:type="dxa"/>
            <w:vAlign w:val="center"/>
          </w:tcPr>
          <w:p w14:paraId="45B08F0E" w14:textId="77777777" w:rsidR="00534730" w:rsidRPr="009D212A" w:rsidRDefault="00534730" w:rsidP="00C12E05">
            <w:pPr>
              <w:rPr>
                <w:rFonts w:ascii="Arial" w:hAnsi="Arial" w:cs="Arial"/>
                <w:sz w:val="24"/>
                <w:szCs w:val="24"/>
              </w:rPr>
            </w:pPr>
            <w:r>
              <w:rPr>
                <w:rFonts w:ascii="Arial" w:hAnsi="Arial"/>
                <w:sz w:val="24"/>
              </w:rPr>
              <w:t>Ccorr</w:t>
            </w:r>
          </w:p>
        </w:tc>
        <w:tc>
          <w:tcPr>
            <w:tcW w:w="4675" w:type="dxa"/>
            <w:vAlign w:val="center"/>
          </w:tcPr>
          <w:p w14:paraId="216CDBD0" w14:textId="77777777" w:rsidR="00534730" w:rsidRPr="009D212A" w:rsidRDefault="00534730" w:rsidP="00C12E05">
            <w:pPr>
              <w:rPr>
                <w:rFonts w:ascii="Arial" w:hAnsi="Arial" w:cs="Arial"/>
                <w:sz w:val="24"/>
                <w:szCs w:val="24"/>
              </w:rPr>
            </w:pPr>
            <w:r>
              <w:rPr>
                <w:rFonts w:ascii="Arial" w:hAnsi="Arial"/>
                <w:sz w:val="24"/>
              </w:rPr>
              <w:t>Coefficient de corrélation croisée moyen des échantillons dans la cellule de la grille</w:t>
            </w:r>
          </w:p>
        </w:tc>
      </w:tr>
      <w:tr w:rsidR="00534730" w:rsidRPr="009D212A" w14:paraId="280CCD73" w14:textId="77777777" w:rsidTr="00652A70">
        <w:trPr>
          <w:trHeight w:val="1021"/>
        </w:trPr>
        <w:tc>
          <w:tcPr>
            <w:tcW w:w="4675" w:type="dxa"/>
            <w:vAlign w:val="center"/>
          </w:tcPr>
          <w:p w14:paraId="7FC635B6" w14:textId="77777777" w:rsidR="00534730" w:rsidRPr="009D212A" w:rsidRDefault="00534730" w:rsidP="00C12E05">
            <w:pPr>
              <w:rPr>
                <w:rFonts w:ascii="Arial" w:hAnsi="Arial" w:cs="Arial"/>
                <w:sz w:val="24"/>
                <w:szCs w:val="24"/>
              </w:rPr>
            </w:pPr>
            <w:r>
              <w:rPr>
                <w:rFonts w:ascii="Arial" w:hAnsi="Arial"/>
                <w:sz w:val="24"/>
              </w:rPr>
              <w:lastRenderedPageBreak/>
              <w:t>Wet_uncertainty</w:t>
            </w:r>
          </w:p>
        </w:tc>
        <w:tc>
          <w:tcPr>
            <w:tcW w:w="4675" w:type="dxa"/>
            <w:vAlign w:val="center"/>
          </w:tcPr>
          <w:p w14:paraId="720795DA" w14:textId="77777777" w:rsidR="00534730" w:rsidRPr="009D212A" w:rsidRDefault="00534730" w:rsidP="00C12E05">
            <w:pPr>
              <w:rPr>
                <w:rFonts w:ascii="Arial" w:hAnsi="Arial" w:cs="Arial"/>
                <w:sz w:val="24"/>
                <w:szCs w:val="24"/>
              </w:rPr>
            </w:pPr>
            <w:r>
              <w:rPr>
                <w:rFonts w:ascii="Arial" w:hAnsi="Arial"/>
                <w:sz w:val="24"/>
              </w:rPr>
              <w:t>Estimation de l’incertitude du mouvement de la glace de mer en supposant que la cellule de la grille contient uniquement de la glace avec une teneur presque complète en eau liquide</w:t>
            </w:r>
          </w:p>
        </w:tc>
      </w:tr>
      <w:tr w:rsidR="00534730" w:rsidRPr="009D212A" w14:paraId="7AA1B652" w14:textId="77777777" w:rsidTr="00652A70">
        <w:trPr>
          <w:trHeight w:val="1021"/>
        </w:trPr>
        <w:tc>
          <w:tcPr>
            <w:tcW w:w="4675" w:type="dxa"/>
            <w:vAlign w:val="center"/>
          </w:tcPr>
          <w:p w14:paraId="0E3274FF" w14:textId="77777777" w:rsidR="00534730" w:rsidRPr="009D212A" w:rsidRDefault="00534730" w:rsidP="00C12E05">
            <w:pPr>
              <w:rPr>
                <w:rFonts w:ascii="Arial" w:hAnsi="Arial" w:cs="Arial"/>
                <w:sz w:val="24"/>
                <w:szCs w:val="24"/>
              </w:rPr>
            </w:pPr>
            <w:r>
              <w:rPr>
                <w:rFonts w:ascii="Arial" w:hAnsi="Arial"/>
                <w:sz w:val="24"/>
              </w:rPr>
              <w:t>Dry_uncertainty</w:t>
            </w:r>
          </w:p>
        </w:tc>
        <w:tc>
          <w:tcPr>
            <w:tcW w:w="4675" w:type="dxa"/>
            <w:vAlign w:val="center"/>
          </w:tcPr>
          <w:p w14:paraId="40BF014D" w14:textId="77777777" w:rsidR="00534730" w:rsidRPr="009D212A" w:rsidRDefault="00534730" w:rsidP="00C12E05">
            <w:pPr>
              <w:rPr>
                <w:rFonts w:ascii="Arial" w:hAnsi="Arial" w:cs="Arial"/>
                <w:sz w:val="24"/>
                <w:szCs w:val="24"/>
              </w:rPr>
            </w:pPr>
            <w:r>
              <w:rPr>
                <w:rFonts w:ascii="Arial" w:hAnsi="Arial"/>
                <w:sz w:val="24"/>
              </w:rPr>
              <w:t>Estimation de l’incertitude du mouvement de la glace de mer en supposant que la cellule de la grille contient uniquement de la glace avec une teneur minime en eau liquide</w:t>
            </w:r>
          </w:p>
        </w:tc>
      </w:tr>
    </w:tbl>
    <w:p w14:paraId="28DC4F57" w14:textId="77777777" w:rsidR="00534730" w:rsidRPr="009D212A" w:rsidRDefault="00534730" w:rsidP="00534730">
      <w:pPr>
        <w:rPr>
          <w:rFonts w:ascii="Arial" w:hAnsi="Arial" w:cs="Arial"/>
        </w:rPr>
      </w:pPr>
    </w:p>
    <w:p w14:paraId="26DC97A5" w14:textId="77777777" w:rsidR="00521E31" w:rsidRPr="00097122" w:rsidRDefault="00521E31" w:rsidP="00534730">
      <w:pPr>
        <w:rPr>
          <w:rFonts w:ascii="Arial" w:hAnsi="Arial" w:cs="Arial"/>
          <w:sz w:val="24"/>
          <w:szCs w:val="24"/>
          <w:u w:val="single"/>
        </w:rPr>
      </w:pPr>
      <w:r>
        <w:rPr>
          <w:rFonts w:ascii="Arial" w:hAnsi="Arial"/>
          <w:sz w:val="24"/>
          <w:u w:val="single"/>
        </w:rPr>
        <w:t>Références</w:t>
      </w:r>
    </w:p>
    <w:p w14:paraId="77B26303" w14:textId="77777777" w:rsidR="00EC00C0" w:rsidRPr="001A7C11" w:rsidRDefault="00EC00C0" w:rsidP="00534730">
      <w:pPr>
        <w:rPr>
          <w:rFonts w:ascii="Arial" w:hAnsi="Arial" w:cs="Arial"/>
          <w:sz w:val="24"/>
          <w:szCs w:val="24"/>
          <w:lang w:val="en-CA"/>
        </w:rPr>
      </w:pPr>
      <w:r>
        <w:rPr>
          <w:rFonts w:ascii="Arial" w:hAnsi="Arial"/>
          <w:sz w:val="24"/>
        </w:rPr>
        <w:t xml:space="preserve">Komarov, A. S., et Barber, D. G. (2013). </w:t>
      </w:r>
      <w:r w:rsidRPr="001A7C11">
        <w:rPr>
          <w:rFonts w:ascii="Arial" w:hAnsi="Arial"/>
          <w:sz w:val="24"/>
          <w:lang w:val="en-CA"/>
        </w:rPr>
        <w:t xml:space="preserve">Sea ice motion tracking from sequential dual-polarization RADARSAT-2 images. IEEE Transactions on Geoscience and Remote Sensing, 52(1), 121-136. </w:t>
      </w:r>
      <w:hyperlink r:id="rId9" w:history="1">
        <w:r w:rsidRPr="001A7C11">
          <w:rPr>
            <w:rStyle w:val="Hyperlink"/>
            <w:rFonts w:ascii="Arial" w:hAnsi="Arial"/>
            <w:sz w:val="24"/>
            <w:lang w:val="en-CA"/>
          </w:rPr>
          <w:t>https://doi.org/10.1109/TGRS.2012.2236845</w:t>
        </w:r>
      </w:hyperlink>
      <w:r w:rsidRPr="001A7C11">
        <w:rPr>
          <w:rFonts w:ascii="Arial" w:hAnsi="Arial"/>
          <w:sz w:val="24"/>
          <w:lang w:val="en-CA"/>
        </w:rPr>
        <w:t xml:space="preserve"> </w:t>
      </w:r>
    </w:p>
    <w:p w14:paraId="118D74A3" w14:textId="77777777" w:rsidR="00521E31" w:rsidRPr="00521E31" w:rsidRDefault="00EC00C0" w:rsidP="00534730">
      <w:pPr>
        <w:rPr>
          <w:rFonts w:ascii="Arial" w:hAnsi="Arial" w:cs="Arial"/>
          <w:sz w:val="24"/>
          <w:szCs w:val="24"/>
        </w:rPr>
      </w:pPr>
      <w:r w:rsidRPr="001A7C11">
        <w:rPr>
          <w:rFonts w:ascii="Arial" w:hAnsi="Arial"/>
          <w:sz w:val="24"/>
          <w:lang w:val="en-CA"/>
        </w:rPr>
        <w:t xml:space="preserve">Howell, S. E. L, Brady, M., et Komarov, A. S. (2022). Generating large-scale sea ice motion from Sentinel-1 and the RADARSAT Constellation Mission using the Environment and Climate Change Canada automated sea ice tracking system. </w:t>
      </w:r>
      <w:r>
        <w:rPr>
          <w:rFonts w:ascii="Arial" w:hAnsi="Arial"/>
          <w:sz w:val="24"/>
        </w:rPr>
        <w:t xml:space="preserve">The Cryosphere, 16(3), 1125-1139. </w:t>
      </w:r>
      <w:hyperlink r:id="rId10" w:history="1">
        <w:r>
          <w:rPr>
            <w:rStyle w:val="Hyperlink"/>
            <w:rFonts w:ascii="Arial" w:hAnsi="Arial"/>
            <w:sz w:val="24"/>
          </w:rPr>
          <w:t>https://doi.org/10.5194/tc-16-1125-2022</w:t>
        </w:r>
      </w:hyperlink>
    </w:p>
    <w:sectPr w:rsidR="00521E31" w:rsidRPr="00521E3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736E5" w14:textId="77777777" w:rsidR="000A3067" w:rsidRDefault="000A3067" w:rsidP="009D212A">
      <w:pPr>
        <w:spacing w:after="0" w:line="240" w:lineRule="auto"/>
      </w:pPr>
      <w:r>
        <w:separator/>
      </w:r>
    </w:p>
  </w:endnote>
  <w:endnote w:type="continuationSeparator" w:id="0">
    <w:p w14:paraId="450CFE41" w14:textId="77777777" w:rsidR="000A3067" w:rsidRDefault="000A3067" w:rsidP="009D2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3A208" w14:textId="77777777" w:rsidR="000A3067" w:rsidRDefault="000A3067" w:rsidP="009D212A">
      <w:pPr>
        <w:spacing w:after="0" w:line="240" w:lineRule="auto"/>
      </w:pPr>
      <w:r>
        <w:separator/>
      </w:r>
    </w:p>
  </w:footnote>
  <w:footnote w:type="continuationSeparator" w:id="0">
    <w:p w14:paraId="68EDBCAC" w14:textId="77777777" w:rsidR="000A3067" w:rsidRDefault="000A3067" w:rsidP="009D2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94203"/>
    <w:multiLevelType w:val="hybridMultilevel"/>
    <w:tmpl w:val="F18AE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FE6"/>
    <w:rsid w:val="00097122"/>
    <w:rsid w:val="000A3067"/>
    <w:rsid w:val="001734DD"/>
    <w:rsid w:val="001A7C11"/>
    <w:rsid w:val="00231C6D"/>
    <w:rsid w:val="00233196"/>
    <w:rsid w:val="00243A5E"/>
    <w:rsid w:val="002C04D6"/>
    <w:rsid w:val="002D13BC"/>
    <w:rsid w:val="002E2E2D"/>
    <w:rsid w:val="002F32A3"/>
    <w:rsid w:val="003E120F"/>
    <w:rsid w:val="003F6DC1"/>
    <w:rsid w:val="00482189"/>
    <w:rsid w:val="004D657E"/>
    <w:rsid w:val="00521E31"/>
    <w:rsid w:val="00534730"/>
    <w:rsid w:val="00566A1A"/>
    <w:rsid w:val="00652A70"/>
    <w:rsid w:val="00652CF3"/>
    <w:rsid w:val="0069530A"/>
    <w:rsid w:val="0070564A"/>
    <w:rsid w:val="00733C8D"/>
    <w:rsid w:val="007506AE"/>
    <w:rsid w:val="007506D3"/>
    <w:rsid w:val="007A1E97"/>
    <w:rsid w:val="00913BA8"/>
    <w:rsid w:val="00956FE6"/>
    <w:rsid w:val="009B363F"/>
    <w:rsid w:val="009D212A"/>
    <w:rsid w:val="00AD5DF1"/>
    <w:rsid w:val="00B00C7B"/>
    <w:rsid w:val="00B775B5"/>
    <w:rsid w:val="00BE6D5F"/>
    <w:rsid w:val="00C27A88"/>
    <w:rsid w:val="00C5295B"/>
    <w:rsid w:val="00CB55D7"/>
    <w:rsid w:val="00D15AF7"/>
    <w:rsid w:val="00D907B8"/>
    <w:rsid w:val="00EC0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1D404A"/>
  <w15:chartTrackingRefBased/>
  <w15:docId w15:val="{C0F5E8C5-4DD1-4EFD-802A-9A501B4B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D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6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E6D5F"/>
    <w:pPr>
      <w:spacing w:after="200" w:line="240" w:lineRule="auto"/>
    </w:pPr>
    <w:rPr>
      <w:i/>
      <w:iCs/>
      <w:color w:val="44546A" w:themeColor="text2"/>
      <w:sz w:val="18"/>
      <w:szCs w:val="18"/>
    </w:rPr>
  </w:style>
  <w:style w:type="paragraph" w:styleId="ListParagraph">
    <w:name w:val="List Paragraph"/>
    <w:basedOn w:val="Normal"/>
    <w:uiPriority w:val="34"/>
    <w:qFormat/>
    <w:rsid w:val="00733C8D"/>
    <w:pPr>
      <w:ind w:left="720"/>
      <w:contextualSpacing/>
    </w:pPr>
  </w:style>
  <w:style w:type="character" w:styleId="Hyperlink">
    <w:name w:val="Hyperlink"/>
    <w:basedOn w:val="DefaultParagraphFont"/>
    <w:uiPriority w:val="99"/>
    <w:unhideWhenUsed/>
    <w:rsid w:val="00566A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ss.nasa.gov/tools/panopl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5194/tc-16-1125-2022" TargetMode="External"/><Relationship Id="rId4" Type="http://schemas.openxmlformats.org/officeDocument/2006/relationships/settings" Target="settings.xml"/><Relationship Id="rId9" Type="http://schemas.openxmlformats.org/officeDocument/2006/relationships/hyperlink" Target="https://doi.org/10.1109/TGRS.2012.22368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59F17-48F0-4A92-9B68-CF36277EE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Environment Climate Change Canada</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Brady,Mike (ECCC)</dc:creator>
  <cp:keywords/>
  <dc:description/>
  <cp:lastModifiedBy>Chua,Lauren (ECCC)</cp:lastModifiedBy>
  <cp:revision>2</cp:revision>
  <dcterms:created xsi:type="dcterms:W3CDTF">2022-07-21T13:09:00Z</dcterms:created>
  <dcterms:modified xsi:type="dcterms:W3CDTF">2022-07-21T13:09:00Z</dcterms:modified>
</cp:coreProperties>
</file>