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20" w:before="20" w:line="360" w:lineRule="auto"/>
        <w:contextualSpacing w:val="0"/>
        <w:jc w:val="center"/>
        <w:rPr>
          <w:i w:val="1"/>
          <w:color w:val="999999"/>
          <w:sz w:val="20"/>
          <w:szCs w:val="20"/>
        </w:rPr>
      </w:pPr>
      <w:r w:rsidDel="00000000" w:rsidR="00000000" w:rsidRPr="00000000">
        <w:rPr>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spacing w:after="20" w:before="20" w:line="360" w:lineRule="auto"/>
        <w:contextualSpacing w:val="0"/>
        <w:jc w:val="center"/>
        <w:rPr>
          <w:i w:val="1"/>
          <w:color w:val="999999"/>
        </w:rPr>
      </w:pPr>
      <w:r w:rsidDel="00000000" w:rsidR="00000000" w:rsidRPr="00000000">
        <w:rPr>
          <w:rtl w:val="0"/>
        </w:rPr>
      </w:r>
    </w:p>
    <w:p w:rsidR="00000000" w:rsidDel="00000000" w:rsidP="00000000" w:rsidRDefault="00000000" w:rsidRPr="00000000" w14:paraId="00000002">
      <w:pPr>
        <w:spacing w:after="20" w:before="20" w:line="360" w:lineRule="auto"/>
        <w:contextualSpacing w:val="0"/>
        <w:rPr>
          <w:rFonts w:ascii="Calibri" w:cs="Calibri" w:eastAsia="Calibri" w:hAnsi="Calibri"/>
        </w:rPr>
      </w:pPr>
      <w:r w:rsidDel="00000000" w:rsidR="00000000" w:rsidRPr="00000000">
        <w:rPr>
          <w:rFonts w:ascii="Calibri" w:cs="Calibri" w:eastAsia="Calibri" w:hAnsi="Calibri"/>
        </w:rPr>
        <w:drawing>
          <wp:inline distB="0" distT="0" distL="0" distR="0">
            <wp:extent cx="2438400" cy="1143000"/>
            <wp:effectExtent b="0" l="0" r="0" t="0"/>
            <wp:docPr descr="https://image.jimcdn.com/app/cms/image/transf/dimension=256x10000:format=png/path/sd62d014a01c16aef/image/i4c8e3b9eb5cffd14/version/1438099820/image.png" id="1" name="image2.png"/>
            <a:graphic>
              <a:graphicData uri="http://schemas.openxmlformats.org/drawingml/2006/picture">
                <pic:pic>
                  <pic:nvPicPr>
                    <pic:cNvPr descr="https://image.jimcdn.com/app/cms/image/transf/dimension=256x10000:format=png/path/sd62d014a01c16aef/image/i4c8e3b9eb5cffd14/version/1438099820/image.png" id="0" name="image2.png"/>
                    <pic:cNvPicPr preferRelativeResize="0"/>
                  </pic:nvPicPr>
                  <pic:blipFill>
                    <a:blip r:embed="rId6"/>
                    <a:srcRect b="0" l="0" r="0" t="0"/>
                    <a:stretch>
                      <a:fillRect/>
                    </a:stretch>
                  </pic:blipFill>
                  <pic:spPr>
                    <a:xfrm>
                      <a:off x="0" y="0"/>
                      <a:ext cx="24384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i w:val="1"/>
          <w:color w:val="999999"/>
        </w:rPr>
      </w:pPr>
      <w:r w:rsidDel="00000000" w:rsidR="00000000" w:rsidRPr="00000000">
        <w:rPr>
          <w:sz w:val="28"/>
          <w:szCs w:val="28"/>
          <w:rtl w:val="0"/>
        </w:rPr>
        <w:t xml:space="preserve">Network on Climate and Aerosols:  Addressing Key Uncertainties in Remote Canadian Environments (NETCARE)  </w:t>
      </w:r>
      <w:r w:rsidDel="00000000" w:rsidR="00000000" w:rsidRPr="00000000">
        <w:rPr>
          <w:rtl w:val="0"/>
        </w:rPr>
      </w:r>
    </w:p>
    <w:p w:rsidR="00000000" w:rsidDel="00000000" w:rsidP="00000000" w:rsidRDefault="00000000" w:rsidRPr="00000000" w14:paraId="00000004">
      <w:pPr>
        <w:spacing w:after="20" w:before="20" w:line="360" w:lineRule="auto"/>
        <w:contextualSpacing w:val="0"/>
        <w:rPr>
          <w:sz w:val="28"/>
          <w:szCs w:val="28"/>
        </w:rPr>
      </w:pP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NETCARE is a network comprised of researchers from ten Canadian universities (University of Toronto, University of British Columbia, Université du Québec à Montréal, University of Waterloo, Université du Québec à Rimouski, Laval University, Dalhousie University, University of Calgary, Université de Sherbrooke, University of Victoria) and five partner institutions (Environment and Climate Change Canada, Fisheries and Oceans Canada, Alfred Wegener Institute, Max Planck Institute, and  Johannes Gutenberg University).  The group has focused on four major research areas that address key uncertainties in climate-aerosol interactions in remote Canadian environments: Carbonaceous Aerosol, Ice Cloud Formation and Impacts, Ocean-Atmosphere Interactions, and Implications of Measurements on Simulations of Atmospheric Processes and Climate.  To address these issues NETCARE undertook several major research campaigns over a four-year period.  Details on each campaign are given below and data from measurements in all campaigns are available.</w:t>
      </w:r>
    </w:p>
    <w:p w:rsidR="00000000" w:rsidDel="00000000" w:rsidP="00000000" w:rsidRDefault="00000000" w:rsidRPr="00000000" w14:paraId="00000006">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contextualSpacing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Campaigns undertaken by NETCARE:</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2013 Ucluelet campaign </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2014-2015 Alert snow study </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 POLAR6 aircraft campaign (concurrent with the 2014 Amundsen campaign)</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 Amundsen ship-based campaign (concurrent with the 2014 POLAR6 campaign)</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2015 POLAR6 aircraft campaign </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2016 Amundsen ship-based campaign</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2016 Alert campaign</w:t>
      </w:r>
      <w:r w:rsidDel="00000000" w:rsidR="00000000" w:rsidRPr="00000000">
        <w:rPr>
          <w:rtl w:val="0"/>
        </w:rPr>
      </w:r>
    </w:p>
    <w:p w:rsidR="00000000" w:rsidDel="00000000" w:rsidP="00000000" w:rsidRDefault="00000000" w:rsidRPr="00000000" w14:paraId="0000000F">
      <w:pPr>
        <w:contextualSpacing w:val="0"/>
        <w:rPr>
          <w:rFonts w:ascii="Calibri" w:cs="Calibri" w:eastAsia="Calibri" w:hAnsi="Calibri"/>
          <w:sz w:val="24"/>
          <w:szCs w:val="24"/>
        </w:rPr>
      </w:pPr>
      <w:bookmarkStart w:colFirst="0" w:colLast="0" w:name="_qe2ocooje571" w:id="0"/>
      <w:bookmarkEnd w:id="0"/>
      <w:r w:rsidDel="00000000" w:rsidR="00000000" w:rsidRPr="00000000">
        <w:rPr>
          <w:rFonts w:ascii="Calibri" w:cs="Calibri" w:eastAsia="Calibri" w:hAnsi="Calibri"/>
          <w:sz w:val="24"/>
          <w:szCs w:val="24"/>
          <w:rtl w:val="0"/>
        </w:rPr>
        <w:t xml:space="preserve">Please note that all data is in the ICARTT format.  More information on the ICARTT format can be found at </w:t>
      </w:r>
      <w:hyperlink r:id="rId7">
        <w:r w:rsidDel="00000000" w:rsidR="00000000" w:rsidRPr="00000000">
          <w:rPr>
            <w:rFonts w:ascii="Calibri" w:cs="Calibri" w:eastAsia="Calibri" w:hAnsi="Calibri"/>
            <w:color w:val="0563c1"/>
            <w:sz w:val="24"/>
            <w:szCs w:val="24"/>
            <w:u w:val="single"/>
            <w:rtl w:val="0"/>
          </w:rPr>
          <w:t xml:space="preserve">https://www-air.larc.nasa.gov/missions/etc/IcarttDataFormat.htm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spacing w:after="20" w:before="20" w:line="360" w:lineRule="auto"/>
        <w:contextualSpacing w:val="0"/>
        <w:jc w:val="center"/>
        <w:rPr>
          <w:sz w:val="28"/>
          <w:szCs w:val="28"/>
        </w:rPr>
      </w:pPr>
      <w:r w:rsidDel="00000000" w:rsidR="00000000" w:rsidRPr="00000000">
        <w:rPr>
          <w:i w:val="1"/>
          <w:color w:val="999999"/>
          <w:rtl w:val="0"/>
        </w:rPr>
        <w:t xml:space="preserve">**************************</w:t>
      </w:r>
      <w:r w:rsidDel="00000000" w:rsidR="00000000" w:rsidRPr="00000000">
        <w:rPr>
          <w:rtl w:val="0"/>
        </w:rPr>
      </w:r>
    </w:p>
    <w:p w:rsidR="00000000" w:rsidDel="00000000" w:rsidP="00000000" w:rsidRDefault="00000000" w:rsidRPr="00000000" w14:paraId="00000011">
      <w:pPr>
        <w:spacing w:after="20" w:before="20" w:line="360" w:lineRule="auto"/>
        <w:contextualSpacing w:val="0"/>
        <w:rPr>
          <w:sz w:val="28"/>
          <w:szCs w:val="28"/>
        </w:rPr>
      </w:pPr>
      <w:r w:rsidDel="00000000" w:rsidR="00000000" w:rsidRPr="00000000">
        <w:rPr/>
        <w:drawing>
          <wp:inline distB="0" distT="0" distL="0" distR="0">
            <wp:extent cx="2438400" cy="1143000"/>
            <wp:effectExtent b="0" l="0" r="0" t="0"/>
            <wp:docPr descr="https://image.jimcdn.com/app/cms/image/transf/dimension=256x10000:format=png/path/sd62d014a01c16aef/image/i4c8e3b9eb5cffd14/version/1438099820/image.png" id="2" name="image3.png"/>
            <a:graphic>
              <a:graphicData uri="http://schemas.openxmlformats.org/drawingml/2006/picture">
                <pic:pic>
                  <pic:nvPicPr>
                    <pic:cNvPr descr="https://image.jimcdn.com/app/cms/image/transf/dimension=256x10000:format=png/path/sd62d014a01c16aef/image/i4c8e3b9eb5cffd14/version/1438099820/image.png" id="0" name="image3.png"/>
                    <pic:cNvPicPr preferRelativeResize="0"/>
                  </pic:nvPicPr>
                  <pic:blipFill>
                    <a:blip r:embed="rId8"/>
                    <a:srcRect b="0" l="0" r="0" t="0"/>
                    <a:stretch>
                      <a:fillRect/>
                    </a:stretch>
                  </pic:blipFill>
                  <pic:spPr>
                    <a:xfrm>
                      <a:off x="0" y="0"/>
                      <a:ext cx="24384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0" w:before="20" w:line="276" w:lineRule="auto"/>
        <w:contextualSpacing w:val="0"/>
        <w:rPr>
          <w:sz w:val="28"/>
          <w:szCs w:val="28"/>
        </w:rPr>
      </w:pPr>
      <w:r w:rsidDel="00000000" w:rsidR="00000000" w:rsidRPr="00000000">
        <w:rPr>
          <w:sz w:val="28"/>
          <w:szCs w:val="28"/>
          <w:rtl w:val="0"/>
        </w:rPr>
        <w:t xml:space="preserve">« Network on Climate and Aerosols: Addressing Key Uncertainties in Remote Canadian Environments » (NETCARE)</w:t>
      </w:r>
    </w:p>
    <w:p w:rsidR="00000000" w:rsidDel="00000000" w:rsidP="00000000" w:rsidRDefault="00000000" w:rsidRPr="00000000" w14:paraId="00000013">
      <w:pPr>
        <w:spacing w:after="20" w:before="2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after="20" w:before="20" w:line="276" w:lineRule="auto"/>
        <w:contextualSpacing w:val="0"/>
        <w:rPr>
          <w:sz w:val="24"/>
          <w:szCs w:val="24"/>
        </w:rPr>
      </w:pPr>
      <w:r w:rsidDel="00000000" w:rsidR="00000000" w:rsidRPr="00000000">
        <w:rPr>
          <w:sz w:val="24"/>
          <w:szCs w:val="24"/>
          <w:rtl w:val="0"/>
        </w:rPr>
        <w:t xml:space="preserve">NETCARE est un réseau comprenant des chercheurs en provenance de 10 universités canadiennes (Université de Toronto, Université de Colombie Britannique, Université du Québec à Montréal, Université de Waterloo, Université du Québec à Rimouski, Université Laval, Université Dalhousie, Université de Calgary, Université de Sherbrooke, Université de Victoria) et 5 institutions partenaires (Environnement et Changement climatique Canada, Pêches et Océans Canada, Institut Alfred Wegener, Institut Max Planck, et l’Université Johannes Gutenberg). Le groupe s’est concentré sur 4 thématiques de recherche majeures qui évaluent les principales incertitudes des interactions climat-aérosols dans les environnements canadiens éloignés : aérosols carbonés, formation et impacts des nuages de glace, interactions océan-atmosphère, implications des mesures de terrain dans les simulations des processus atmosphériques et du climat. Afin d’évaluer ces problématiques, NETCARE a entrepris plusieurs campagnes de recherche majeures sur une période de 4 ans. Les détails relatifs à chaque campagne sont donnés ci-dessous et les données issues des mesures de toutes les campagnes sont disponibles.</w:t>
      </w:r>
    </w:p>
    <w:p w:rsidR="00000000" w:rsidDel="00000000" w:rsidP="00000000" w:rsidRDefault="00000000" w:rsidRPr="00000000" w14:paraId="00000015">
      <w:pPr>
        <w:spacing w:after="20" w:before="20" w:line="276" w:lineRule="auto"/>
        <w:contextualSpacing w:val="0"/>
        <w:rPr>
          <w:sz w:val="8"/>
          <w:szCs w:val="8"/>
        </w:rPr>
      </w:pPr>
      <w:r w:rsidDel="00000000" w:rsidR="00000000" w:rsidRPr="00000000">
        <w:rPr>
          <w:sz w:val="8"/>
          <w:szCs w:val="8"/>
          <w:rtl w:val="0"/>
        </w:rPr>
        <w:t xml:space="preserve"> </w:t>
      </w:r>
    </w:p>
    <w:p w:rsidR="00000000" w:rsidDel="00000000" w:rsidP="00000000" w:rsidRDefault="00000000" w:rsidRPr="00000000" w14:paraId="00000016">
      <w:pPr>
        <w:spacing w:after="20" w:before="20" w:line="276" w:lineRule="auto"/>
        <w:contextualSpacing w:val="0"/>
        <w:rPr>
          <w:i w:val="1"/>
          <w:sz w:val="24"/>
          <w:szCs w:val="24"/>
        </w:rPr>
      </w:pPr>
      <w:r w:rsidDel="00000000" w:rsidR="00000000" w:rsidRPr="00000000">
        <w:rPr>
          <w:i w:val="1"/>
          <w:sz w:val="24"/>
          <w:szCs w:val="24"/>
          <w:rtl w:val="0"/>
        </w:rPr>
        <w:t xml:space="preserve">Campagnes entreprises par NETCARE:</w:t>
      </w:r>
    </w:p>
    <w:p w:rsidR="00000000" w:rsidDel="00000000" w:rsidP="00000000" w:rsidRDefault="00000000" w:rsidRPr="00000000" w14:paraId="00000017">
      <w:pPr>
        <w:spacing w:after="0" w:before="20" w:line="276" w:lineRule="auto"/>
        <w:ind w:left="1080" w:hanging="360"/>
        <w:contextualSpacing w:val="0"/>
        <w:rPr>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Campagne 2013 à Ucluelet</w:t>
      </w:r>
    </w:p>
    <w:p w:rsidR="00000000" w:rsidDel="00000000" w:rsidP="00000000" w:rsidRDefault="00000000" w:rsidRPr="00000000" w14:paraId="00000018">
      <w:pPr>
        <w:spacing w:after="0" w:before="20" w:line="276" w:lineRule="auto"/>
        <w:ind w:left="1080" w:hanging="360"/>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Étude 2014-2015 de la neige à Alert</w:t>
      </w:r>
    </w:p>
    <w:p w:rsidR="00000000" w:rsidDel="00000000" w:rsidP="00000000" w:rsidRDefault="00000000" w:rsidRPr="00000000" w14:paraId="00000019">
      <w:pPr>
        <w:spacing w:after="0" w:before="20" w:line="276" w:lineRule="auto"/>
        <w:ind w:left="1080" w:hanging="360"/>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Campagne aérienne POLAR6 de 2014 (concomitante avec la campagne navale Amundsen de 2014)</w:t>
      </w:r>
    </w:p>
    <w:p w:rsidR="00000000" w:rsidDel="00000000" w:rsidP="00000000" w:rsidRDefault="00000000" w:rsidRPr="00000000" w14:paraId="0000001A">
      <w:pPr>
        <w:spacing w:after="0" w:before="20" w:line="276" w:lineRule="auto"/>
        <w:ind w:left="1080" w:hanging="360"/>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Campagne navale Amundsen de 2014 (concomitante avec la campagne aérienne POLAR6 de 2014)</w:t>
      </w:r>
    </w:p>
    <w:p w:rsidR="00000000" w:rsidDel="00000000" w:rsidP="00000000" w:rsidRDefault="00000000" w:rsidRPr="00000000" w14:paraId="0000001B">
      <w:pPr>
        <w:spacing w:after="0" w:before="20" w:line="276" w:lineRule="auto"/>
        <w:ind w:left="1080" w:hanging="360"/>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Campagne aérienne POLAR6 de 2015</w:t>
      </w:r>
    </w:p>
    <w:p w:rsidR="00000000" w:rsidDel="00000000" w:rsidP="00000000" w:rsidRDefault="00000000" w:rsidRPr="00000000" w14:paraId="0000001C">
      <w:pPr>
        <w:spacing w:after="0" w:before="20" w:line="276" w:lineRule="auto"/>
        <w:ind w:left="1080" w:hanging="360"/>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Campagne navale Amundsen de 2016</w:t>
      </w:r>
    </w:p>
    <w:p w:rsidR="00000000" w:rsidDel="00000000" w:rsidP="00000000" w:rsidRDefault="00000000" w:rsidRPr="00000000" w14:paraId="0000001D">
      <w:pPr>
        <w:spacing w:after="20" w:before="20" w:line="276" w:lineRule="auto"/>
        <w:ind w:left="1080" w:hanging="360"/>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Campagne 2016 à Alert</w:t>
      </w:r>
    </w:p>
    <w:p w:rsidR="00000000" w:rsidDel="00000000" w:rsidP="00000000" w:rsidRDefault="00000000" w:rsidRPr="00000000" w14:paraId="0000001E">
      <w:pPr>
        <w:spacing w:after="20" w:before="20" w:line="276" w:lineRule="auto"/>
        <w:ind w:left="360" w:firstLine="0"/>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after="20" w:before="20" w:line="276" w:lineRule="auto"/>
        <w:contextualSpacing w:val="0"/>
        <w:rPr/>
      </w:pPr>
      <w:r w:rsidDel="00000000" w:rsidR="00000000" w:rsidRPr="00000000">
        <w:rPr>
          <w:sz w:val="24"/>
          <w:szCs w:val="24"/>
          <w:rtl w:val="0"/>
        </w:rPr>
        <w:t xml:space="preserve">Veuillez noter que toutes les données sont au format ICARTT.  De plus amples informations à propos du format ICARTT peuvent être consultées (en anglais) sur  </w:t>
      </w:r>
      <w:hyperlink r:id="rId9">
        <w:r w:rsidDel="00000000" w:rsidR="00000000" w:rsidRPr="00000000">
          <w:rPr>
            <w:color w:val="0563c1"/>
            <w:sz w:val="24"/>
            <w:szCs w:val="24"/>
            <w:u w:val="single"/>
            <w:rtl w:val="0"/>
          </w:rPr>
          <w:t xml:space="preserve">https://www-air.larc.nasa.gov/missions/etc/IcarttDataFormat.htm</w:t>
        </w:r>
      </w:hyperlink>
      <w:r w:rsidDel="00000000" w:rsidR="00000000" w:rsidRPr="00000000">
        <w:rPr>
          <w:sz w:val="24"/>
          <w:szCs w:val="24"/>
          <w:rtl w:val="0"/>
        </w:rPr>
        <w:t xml:space="preserv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0" w:right="0" w:firstLine="0"/>
      <w:contextualSpacing w:val="0"/>
      <w:jc w:val="left"/>
    </w:pPr>
    <w:rPr>
      <w:rFonts w:ascii="Calibri" w:cs="Calibri" w:eastAsia="Calibri" w:hAnsi="Calibri"/>
      <w:b w:val="0"/>
      <w:i w:val="0"/>
      <w:smallCaps w:val="1"/>
      <w:strike w:val="0"/>
      <w:color w:val="000000"/>
      <w:sz w:val="36"/>
      <w:szCs w:val="36"/>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r.larc.nasa.gov/missions/etc/IcarttDataFormat.ht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air.larc.nasa.gov/missions/etc/IcarttDataFormat.htm"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